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FF0000"/>
          <w:sz w:val="120"/>
          <w:szCs w:val="120"/>
        </w:rPr>
      </w:pPr>
      <w:r>
        <w:rPr>
          <w:rFonts w:hint="eastAsia" w:ascii="仿宋_GB2312" w:eastAsia="仿宋_GB2312"/>
          <w:b/>
          <w:color w:val="FF0000"/>
          <w:sz w:val="120"/>
          <w:szCs w:val="120"/>
        </w:rPr>
        <w:t>湖南省药学会</w:t>
      </w:r>
    </w:p>
    <w:p>
      <w:pPr>
        <w:spacing w:line="320" w:lineRule="exact"/>
        <w:ind w:left="1635" w:hanging="1635" w:hangingChars="545"/>
        <w:jc w:val="center"/>
        <w:rPr>
          <w:rFonts w:ascii="楷体" w:hAnsi="楷体" w:eastAsia="楷体"/>
          <w:sz w:val="30"/>
          <w:szCs w:val="30"/>
        </w:rPr>
      </w:pPr>
      <w:r>
        <w:rPr>
          <w:rFonts w:hint="eastAsia" w:ascii="楷体" w:hAnsi="楷体" w:eastAsia="楷体"/>
          <w:sz w:val="30"/>
          <w:szCs w:val="30"/>
        </w:rPr>
        <w:t>湘药会〔2024〕第</w:t>
      </w:r>
      <w:r>
        <w:rPr>
          <w:rFonts w:hint="eastAsia" w:ascii="楷体" w:hAnsi="楷体" w:eastAsia="楷体"/>
          <w:sz w:val="30"/>
          <w:szCs w:val="30"/>
          <w:lang w:val="en-US" w:eastAsia="zh-CN"/>
        </w:rPr>
        <w:t>016</w:t>
      </w:r>
      <w:r>
        <w:rPr>
          <w:rFonts w:hint="eastAsia" w:ascii="楷体" w:hAnsi="楷体" w:eastAsia="楷体"/>
          <w:sz w:val="30"/>
          <w:szCs w:val="30"/>
        </w:rPr>
        <w:t>号</w:t>
      </w:r>
    </w:p>
    <w:p>
      <w:pPr>
        <w:spacing w:line="240" w:lineRule="exact"/>
        <w:ind w:left="1641" w:hanging="1641" w:hangingChars="545"/>
        <w:rPr>
          <w:b/>
          <w:sz w:val="44"/>
          <w:szCs w:val="44"/>
        </w:rPr>
      </w:pPr>
      <w:r>
        <w:rPr>
          <w:rFonts w:hint="eastAsia"/>
          <w:b/>
          <w:color w:val="FF0000"/>
          <w:sz w:val="30"/>
          <w:szCs w:val="30"/>
          <w:u w:val="single"/>
        </w:rPr>
        <w:t xml:space="preserve">                                                 </w:t>
      </w:r>
      <w:r>
        <w:rPr>
          <w:b/>
          <w:color w:val="FF0000"/>
          <w:sz w:val="30"/>
          <w:szCs w:val="30"/>
          <w:u w:val="single"/>
        </w:rPr>
        <w:t xml:space="preserve"> </w:t>
      </w:r>
      <w:r>
        <w:rPr>
          <w:rFonts w:hint="eastAsia"/>
          <w:b/>
          <w:color w:val="FF0000"/>
          <w:sz w:val="30"/>
          <w:szCs w:val="30"/>
          <w:u w:val="single"/>
        </w:rPr>
        <w:t xml:space="preserve">             </w:t>
      </w:r>
    </w:p>
    <w:p>
      <w:pPr>
        <w:spacing w:line="640" w:lineRule="exact"/>
        <w:jc w:val="center"/>
        <w:rPr>
          <w:sz w:val="30"/>
          <w:szCs w:val="30"/>
        </w:rPr>
      </w:pPr>
      <w:r>
        <w:rPr>
          <w:rFonts w:hint="eastAsia" w:ascii="黑体" w:hAnsi="黑体" w:eastAsia="黑体" w:cs="黑体"/>
          <w:b/>
          <w:bCs/>
          <w:sz w:val="44"/>
          <w:szCs w:val="44"/>
        </w:rPr>
        <w:t>关于发展个人会员和完善会员信息的通知</w:t>
      </w:r>
    </w:p>
    <w:p>
      <w:pPr>
        <w:pStyle w:val="10"/>
        <w:spacing w:line="550" w:lineRule="exact"/>
        <w:rPr>
          <w:rFonts w:hint="eastAsia" w:ascii="仿宋" w:hAnsi="仿宋" w:eastAsia="仿宋" w:cs="Times New Roman"/>
          <w:color w:val="323232"/>
          <w:sz w:val="32"/>
          <w:szCs w:val="32"/>
        </w:rPr>
      </w:pPr>
    </w:p>
    <w:p>
      <w:pPr>
        <w:pStyle w:val="10"/>
        <w:spacing w:line="550" w:lineRule="exact"/>
        <w:rPr>
          <w:rFonts w:ascii="仿宋" w:hAnsi="仿宋" w:eastAsia="仿宋" w:cs="Times New Roman"/>
          <w:color w:val="323232"/>
          <w:sz w:val="32"/>
          <w:szCs w:val="32"/>
        </w:rPr>
      </w:pPr>
      <w:r>
        <w:rPr>
          <w:rFonts w:ascii="仿宋" w:hAnsi="仿宋" w:eastAsia="仿宋" w:cs="Times New Roman"/>
          <w:color w:val="323232"/>
          <w:sz w:val="32"/>
          <w:szCs w:val="32"/>
        </w:rPr>
        <w:t>各市州药学会、各专业委员会</w:t>
      </w:r>
      <w:r>
        <w:rPr>
          <w:rFonts w:hint="eastAsia" w:ascii="仿宋" w:hAnsi="仿宋" w:eastAsia="仿宋" w:cs="Times New Roman"/>
          <w:color w:val="323232"/>
          <w:sz w:val="32"/>
          <w:szCs w:val="32"/>
        </w:rPr>
        <w:t>、各有关单位</w:t>
      </w:r>
      <w:r>
        <w:rPr>
          <w:rFonts w:ascii="仿宋" w:hAnsi="仿宋" w:eastAsia="仿宋" w:cs="Times New Roman"/>
          <w:color w:val="323232"/>
          <w:sz w:val="32"/>
          <w:szCs w:val="32"/>
        </w:rPr>
        <w:t>：</w:t>
      </w:r>
    </w:p>
    <w:p>
      <w:pPr>
        <w:ind w:firstLine="640" w:firstLineChars="200"/>
        <w:rPr>
          <w:rFonts w:ascii="仿宋" w:hAnsi="仿宋" w:eastAsia="仿宋" w:cs="Times New Roman"/>
          <w:color w:val="323232"/>
          <w:sz w:val="32"/>
          <w:szCs w:val="32"/>
        </w:rPr>
      </w:pPr>
      <w:r>
        <w:rPr>
          <w:rFonts w:hint="eastAsia" w:ascii="仿宋" w:hAnsi="仿宋" w:eastAsia="仿宋" w:cs="仿宋"/>
          <w:sz w:val="32"/>
          <w:szCs w:val="32"/>
        </w:rPr>
        <w:t>根据《湖南省科协省级学会组织通则（试行）》</w:t>
      </w:r>
      <w:r>
        <w:rPr>
          <w:rFonts w:hint="eastAsia" w:ascii="仿宋" w:hAnsi="仿宋" w:eastAsia="仿宋" w:cs="仿宋"/>
          <w:sz w:val="32"/>
          <w:szCs w:val="32"/>
          <w:lang w:eastAsia="zh-CN"/>
        </w:rPr>
        <w:t>、</w:t>
      </w:r>
      <w:r>
        <w:rPr>
          <w:rFonts w:hint="eastAsia" w:ascii="仿宋" w:hAnsi="仿宋" w:eastAsia="仿宋" w:cs="Times New Roman"/>
          <w:color w:val="323232"/>
          <w:sz w:val="32"/>
          <w:szCs w:val="32"/>
        </w:rPr>
        <w:t>《湖南省药学会章程》和《湖南省药学会会员管理办法》等有关规定，</w:t>
      </w:r>
      <w:r>
        <w:rPr>
          <w:rFonts w:hint="eastAsia" w:ascii="仿宋" w:hAnsi="仿宋" w:eastAsia="仿宋" w:cs="仿宋"/>
          <w:sz w:val="32"/>
          <w:szCs w:val="32"/>
        </w:rPr>
        <w:t>2024年拟召开湖南省药学会理事会第十六次会议并进行新一届理事会换届选举工作。</w:t>
      </w:r>
      <w:r>
        <w:rPr>
          <w:rFonts w:hint="eastAsia" w:ascii="仿宋" w:hAnsi="仿宋" w:eastAsia="仿宋" w:cs="Times New Roman"/>
          <w:color w:val="323232"/>
          <w:sz w:val="32"/>
          <w:szCs w:val="32"/>
        </w:rPr>
        <w:t>为保证第十六次</w:t>
      </w:r>
      <w:r>
        <w:rPr>
          <w:rFonts w:ascii="仿宋" w:hAnsi="仿宋" w:eastAsia="仿宋" w:cs="Times New Roman"/>
          <w:color w:val="323232"/>
          <w:sz w:val="32"/>
          <w:szCs w:val="32"/>
        </w:rPr>
        <w:t>会员</w:t>
      </w:r>
      <w:r>
        <w:rPr>
          <w:rFonts w:hint="eastAsia" w:ascii="仿宋" w:hAnsi="仿宋" w:eastAsia="仿宋" w:cs="Times New Roman"/>
          <w:color w:val="323232"/>
          <w:sz w:val="32"/>
          <w:szCs w:val="32"/>
        </w:rPr>
        <w:t>代表大</w:t>
      </w:r>
      <w:r>
        <w:rPr>
          <w:rFonts w:ascii="仿宋" w:hAnsi="仿宋" w:eastAsia="仿宋" w:cs="Times New Roman"/>
          <w:color w:val="323232"/>
          <w:sz w:val="32"/>
          <w:szCs w:val="32"/>
        </w:rPr>
        <w:t>会</w:t>
      </w:r>
      <w:r>
        <w:rPr>
          <w:rFonts w:hint="eastAsia" w:ascii="仿宋" w:hAnsi="仿宋" w:eastAsia="仿宋" w:cs="Times New Roman"/>
          <w:color w:val="323232"/>
          <w:sz w:val="32"/>
          <w:szCs w:val="32"/>
        </w:rPr>
        <w:t>代</w:t>
      </w:r>
      <w:r>
        <w:rPr>
          <w:rFonts w:ascii="仿宋" w:hAnsi="仿宋" w:eastAsia="仿宋" w:cs="Times New Roman"/>
          <w:color w:val="323232"/>
          <w:sz w:val="32"/>
          <w:szCs w:val="32"/>
        </w:rPr>
        <w:t>表</w:t>
      </w:r>
      <w:r>
        <w:rPr>
          <w:rFonts w:hint="eastAsia" w:ascii="仿宋" w:hAnsi="仿宋" w:eastAsia="仿宋" w:cs="Times New Roman"/>
          <w:color w:val="323232"/>
          <w:sz w:val="32"/>
          <w:szCs w:val="32"/>
        </w:rPr>
        <w:t>名额分配的合理性，各市州</w:t>
      </w:r>
      <w:r>
        <w:rPr>
          <w:rFonts w:ascii="仿宋" w:hAnsi="仿宋" w:eastAsia="仿宋" w:cs="Times New Roman"/>
          <w:color w:val="323232"/>
          <w:sz w:val="32"/>
          <w:szCs w:val="32"/>
        </w:rPr>
        <w:t>药学会、各专业委员会</w:t>
      </w:r>
      <w:r>
        <w:rPr>
          <w:rFonts w:hint="eastAsia" w:ascii="仿宋" w:hAnsi="仿宋" w:eastAsia="仿宋" w:cs="Times New Roman"/>
          <w:color w:val="323232"/>
          <w:sz w:val="32"/>
          <w:szCs w:val="32"/>
        </w:rPr>
        <w:t>和相关单位代表名额将依据其</w:t>
      </w:r>
      <w:r>
        <w:rPr>
          <w:rFonts w:ascii="仿宋" w:hAnsi="仿宋" w:eastAsia="仿宋" w:cs="Times New Roman"/>
          <w:color w:val="323232"/>
          <w:sz w:val="32"/>
          <w:szCs w:val="32"/>
        </w:rPr>
        <w:t>在湖南省</w:t>
      </w:r>
      <w:r>
        <w:rPr>
          <w:rFonts w:hint="eastAsia" w:ascii="仿宋" w:hAnsi="仿宋" w:eastAsia="仿宋" w:cs="Times New Roman"/>
          <w:color w:val="323232"/>
          <w:sz w:val="32"/>
          <w:szCs w:val="32"/>
        </w:rPr>
        <w:t>药学会注册的普通会员数比例进行分配。请</w:t>
      </w:r>
      <w:r>
        <w:rPr>
          <w:rFonts w:ascii="仿宋" w:hAnsi="仿宋" w:eastAsia="仿宋" w:cs="Times New Roman"/>
          <w:color w:val="323232"/>
          <w:sz w:val="32"/>
          <w:szCs w:val="32"/>
        </w:rPr>
        <w:t>各市州药学会、各专业委员会</w:t>
      </w:r>
      <w:r>
        <w:rPr>
          <w:rFonts w:hint="eastAsia" w:ascii="仿宋" w:hAnsi="仿宋" w:eastAsia="仿宋" w:cs="Times New Roman"/>
          <w:color w:val="323232"/>
          <w:sz w:val="32"/>
          <w:szCs w:val="32"/>
        </w:rPr>
        <w:t>和有关单位发动还未注册会员的药学</w:t>
      </w:r>
      <w:r>
        <w:rPr>
          <w:rFonts w:hint="eastAsia" w:ascii="仿宋" w:hAnsi="仿宋" w:eastAsia="仿宋" w:cs="Times New Roman"/>
          <w:color w:val="323232"/>
          <w:sz w:val="32"/>
          <w:szCs w:val="32"/>
          <w:lang w:val="en-US" w:eastAsia="zh-CN"/>
        </w:rPr>
        <w:t>科技</w:t>
      </w:r>
      <w:r>
        <w:rPr>
          <w:rFonts w:hint="eastAsia" w:ascii="仿宋" w:hAnsi="仿宋" w:eastAsia="仿宋" w:cs="Times New Roman"/>
          <w:color w:val="323232"/>
          <w:sz w:val="32"/>
          <w:szCs w:val="32"/>
        </w:rPr>
        <w:t>工作者在湖南省药学会官网“会员管理”处（网址</w:t>
      </w:r>
      <w:r>
        <w:fldChar w:fldCharType="begin"/>
      </w:r>
      <w:r>
        <w:instrText xml:space="preserve"> HYPERLINK "http://yaoxuehui.hnfun.com/user.php" </w:instrText>
      </w:r>
      <w:r>
        <w:fldChar w:fldCharType="separate"/>
      </w:r>
      <w:r>
        <w:rPr>
          <w:rFonts w:ascii="仿宋" w:hAnsi="仿宋" w:eastAsia="仿宋" w:cs="Times New Roman"/>
          <w:color w:val="323232"/>
          <w:sz w:val="32"/>
          <w:szCs w:val="32"/>
        </w:rPr>
        <w:t>http://yaoxuehui.hnfun.com/user.php</w:t>
      </w:r>
      <w:r>
        <w:rPr>
          <w:rFonts w:ascii="仿宋" w:hAnsi="仿宋" w:eastAsia="仿宋" w:cs="Times New Roman"/>
          <w:color w:val="323232"/>
          <w:sz w:val="32"/>
          <w:szCs w:val="32"/>
        </w:rPr>
        <w:fldChar w:fldCharType="end"/>
      </w:r>
      <w:r>
        <w:rPr>
          <w:rFonts w:hint="eastAsia" w:ascii="仿宋" w:hAnsi="仿宋" w:eastAsia="仿宋" w:cs="Times New Roman"/>
          <w:color w:val="323232"/>
          <w:sz w:val="32"/>
          <w:szCs w:val="32"/>
        </w:rPr>
        <w:t>）申请</w:t>
      </w:r>
      <w:r>
        <w:rPr>
          <w:rFonts w:hint="eastAsia" w:ascii="仿宋" w:hAnsi="仿宋" w:eastAsia="仿宋" w:cs="Times New Roman"/>
          <w:color w:val="323232"/>
          <w:sz w:val="32"/>
          <w:szCs w:val="32"/>
          <w:lang w:val="en-US" w:eastAsia="zh-CN"/>
        </w:rPr>
        <w:t>注册</w:t>
      </w:r>
      <w:r>
        <w:rPr>
          <w:rFonts w:hint="eastAsia" w:ascii="仿宋" w:hAnsi="仿宋" w:eastAsia="仿宋" w:cs="Times New Roman"/>
          <w:color w:val="323232"/>
          <w:sz w:val="32"/>
          <w:szCs w:val="32"/>
        </w:rPr>
        <w:t>（入会条件及详细操作流程参见附件1</w:t>
      </w:r>
      <w:bookmarkStart w:id="0" w:name="_GoBack"/>
      <w:bookmarkEnd w:id="0"/>
      <w:r>
        <w:rPr>
          <w:rFonts w:hint="eastAsia" w:ascii="仿宋" w:hAnsi="仿宋" w:eastAsia="仿宋" w:cs="Times New Roman"/>
          <w:color w:val="323232"/>
          <w:sz w:val="32"/>
          <w:szCs w:val="32"/>
        </w:rPr>
        <w:t>），湖南省药学会秘书处进行审核，同时请老会员更新注册信息（</w:t>
      </w:r>
      <w:r>
        <w:rPr>
          <w:rFonts w:hint="eastAsia" w:ascii="仿宋" w:hAnsi="仿宋" w:eastAsia="仿宋" w:cs="Times New Roman"/>
          <w:color w:val="323232"/>
          <w:sz w:val="32"/>
          <w:szCs w:val="32"/>
          <w:lang w:val="en-US" w:eastAsia="zh-CN"/>
        </w:rPr>
        <w:t>如单位名称变更、职称职务变化等</w:t>
      </w:r>
      <w:r>
        <w:rPr>
          <w:rFonts w:hint="eastAsia" w:ascii="仿宋" w:hAnsi="仿宋" w:eastAsia="仿宋" w:cs="Times New Roman"/>
          <w:color w:val="323232"/>
          <w:sz w:val="32"/>
          <w:szCs w:val="32"/>
        </w:rPr>
        <w:t>）。湖南省药学会将统计截至2024年6月30日前注册的会员情况，并以此为依据分配代表和理事名额。</w:t>
      </w:r>
    </w:p>
    <w:p>
      <w:pPr>
        <w:widowControl/>
        <w:spacing w:line="550" w:lineRule="exact"/>
        <w:ind w:firstLine="640" w:firstLineChars="200"/>
        <w:rPr>
          <w:rFonts w:hint="eastAsia" w:ascii="仿宋" w:hAnsi="仿宋" w:eastAsia="仿宋" w:cs="Times New Roman"/>
          <w:color w:val="323232"/>
          <w:sz w:val="32"/>
          <w:szCs w:val="32"/>
        </w:rPr>
      </w:pPr>
      <w:r>
        <w:rPr>
          <w:rFonts w:hint="eastAsia" w:ascii="仿宋" w:hAnsi="仿宋" w:eastAsia="仿宋" w:cs="Times New Roman"/>
          <w:color w:val="323232"/>
          <w:sz w:val="32"/>
          <w:szCs w:val="32"/>
        </w:rPr>
        <w:t>联系</w:t>
      </w:r>
      <w:r>
        <w:rPr>
          <w:rFonts w:hint="eastAsia" w:ascii="仿宋" w:hAnsi="仿宋" w:eastAsia="仿宋" w:cs="Times New Roman"/>
          <w:color w:val="323232"/>
          <w:sz w:val="32"/>
          <w:szCs w:val="32"/>
          <w:lang w:val="en-US" w:eastAsia="zh-CN"/>
        </w:rPr>
        <w:t>方式</w:t>
      </w:r>
      <w:r>
        <w:rPr>
          <w:rFonts w:ascii="仿宋" w:hAnsi="仿宋" w:eastAsia="仿宋" w:cs="Times New Roman"/>
          <w:color w:val="323232"/>
          <w:sz w:val="32"/>
          <w:szCs w:val="32"/>
        </w:rPr>
        <w:t>：</w:t>
      </w:r>
      <w:r>
        <w:rPr>
          <w:rFonts w:hint="eastAsia" w:ascii="仿宋" w:hAnsi="仿宋" w:eastAsia="仿宋" w:cs="Times New Roman"/>
          <w:color w:val="323232"/>
          <w:sz w:val="32"/>
          <w:szCs w:val="32"/>
        </w:rPr>
        <w:t>李献忠 18390893832;</w:t>
      </w:r>
      <w:r>
        <w:rPr>
          <w:rFonts w:ascii="仿宋" w:hAnsi="仿宋" w:eastAsia="仿宋" w:cs="Times New Roman"/>
          <w:color w:val="323232"/>
          <w:sz w:val="32"/>
          <w:szCs w:val="32"/>
        </w:rPr>
        <w:t>张超</w:t>
      </w:r>
      <w:r>
        <w:rPr>
          <w:rFonts w:hint="eastAsia" w:ascii="仿宋" w:hAnsi="仿宋" w:eastAsia="仿宋" w:cs="Times New Roman"/>
          <w:color w:val="323232"/>
          <w:sz w:val="32"/>
          <w:szCs w:val="32"/>
        </w:rPr>
        <w:t xml:space="preserve"> 18684648217</w:t>
      </w:r>
    </w:p>
    <w:p>
      <w:pPr>
        <w:widowControl/>
        <w:spacing w:line="550" w:lineRule="exact"/>
        <w:ind w:firstLine="640" w:firstLineChars="200"/>
        <w:rPr>
          <w:rFonts w:ascii="仿宋" w:hAnsi="仿宋" w:eastAsia="仿宋" w:cs="Times New Roman"/>
          <w:color w:val="323232"/>
          <w:sz w:val="32"/>
          <w:szCs w:val="32"/>
        </w:rPr>
      </w:pPr>
      <w:r>
        <w:rPr>
          <w:rFonts w:ascii="仿宋" w:hAnsi="仿宋" w:eastAsia="仿宋"/>
          <w:sz w:val="32"/>
          <w:szCs w:val="32"/>
        </w:rPr>
        <w:drawing>
          <wp:anchor distT="0" distB="0" distL="114300" distR="114300" simplePos="0" relativeHeight="251661312" behindDoc="0" locked="0" layoutInCell="1" allowOverlap="1">
            <wp:simplePos x="0" y="0"/>
            <wp:positionH relativeFrom="column">
              <wp:posOffset>4250055</wp:posOffset>
            </wp:positionH>
            <wp:positionV relativeFrom="paragraph">
              <wp:posOffset>96520</wp:posOffset>
            </wp:positionV>
            <wp:extent cx="1371600" cy="137160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371600" cy="1371600"/>
                    </a:xfrm>
                    <a:prstGeom prst="rect">
                      <a:avLst/>
                    </a:prstGeom>
                    <a:noFill/>
                    <a:ln>
                      <a:noFill/>
                    </a:ln>
                  </pic:spPr>
                </pic:pic>
              </a:graphicData>
            </a:graphic>
          </wp:anchor>
        </w:drawing>
      </w:r>
      <w:r>
        <w:rPr>
          <w:rFonts w:hint="eastAsia" w:ascii="仿宋" w:hAnsi="仿宋" w:eastAsia="仿宋" w:cs="Times New Roman"/>
          <w:color w:val="323232"/>
          <w:sz w:val="32"/>
          <w:szCs w:val="32"/>
          <w:lang w:val="en-US" w:eastAsia="zh-CN"/>
        </w:rPr>
        <w:t>办公室电话：0731-84436720</w:t>
      </w:r>
    </w:p>
    <w:p>
      <w:pPr>
        <w:widowControl/>
        <w:spacing w:line="550" w:lineRule="exact"/>
        <w:jc w:val="right"/>
        <w:rPr>
          <w:rFonts w:ascii="仿宋" w:hAnsi="仿宋" w:eastAsia="仿宋" w:cs="Times New Roman"/>
          <w:color w:val="323232"/>
          <w:sz w:val="32"/>
          <w:szCs w:val="32"/>
        </w:rPr>
      </w:pPr>
      <w:r>
        <w:rPr>
          <w:rFonts w:hint="eastAsia" w:ascii="仿宋" w:hAnsi="仿宋" w:eastAsia="仿宋" w:cs="Times New Roman"/>
          <w:color w:val="323232"/>
          <w:sz w:val="32"/>
          <w:szCs w:val="32"/>
        </w:rPr>
        <w:t>湖南</w:t>
      </w:r>
      <w:r>
        <w:rPr>
          <w:rFonts w:ascii="仿宋" w:hAnsi="仿宋" w:eastAsia="仿宋" w:cs="Times New Roman"/>
          <w:color w:val="323232"/>
          <w:sz w:val="32"/>
          <w:szCs w:val="32"/>
        </w:rPr>
        <w:t>省药学会</w:t>
      </w:r>
    </w:p>
    <w:p>
      <w:pPr>
        <w:widowControl/>
        <w:spacing w:line="550" w:lineRule="exact"/>
        <w:jc w:val="right"/>
        <w:rPr>
          <w:rFonts w:ascii="仿宋" w:hAnsi="仿宋" w:eastAsia="仿宋" w:cs="Times New Roman"/>
          <w:color w:val="323232"/>
          <w:sz w:val="32"/>
          <w:szCs w:val="32"/>
        </w:rPr>
      </w:pPr>
      <w:r>
        <w:rPr>
          <w:rFonts w:hint="eastAsia" w:ascii="仿宋" w:hAnsi="仿宋" w:eastAsia="仿宋" w:cs="Times New Roman"/>
          <w:color w:val="323232"/>
          <w:sz w:val="32"/>
          <w:szCs w:val="32"/>
        </w:rPr>
        <w:t>2</w:t>
      </w:r>
      <w:r>
        <w:rPr>
          <w:rFonts w:ascii="仿宋" w:hAnsi="仿宋" w:eastAsia="仿宋" w:cs="Times New Roman"/>
          <w:color w:val="323232"/>
          <w:sz w:val="32"/>
          <w:szCs w:val="32"/>
        </w:rPr>
        <w:t>0</w:t>
      </w:r>
      <w:r>
        <w:rPr>
          <w:rFonts w:hint="eastAsia" w:ascii="仿宋" w:hAnsi="仿宋" w:eastAsia="仿宋" w:cs="Times New Roman"/>
          <w:color w:val="323232"/>
          <w:sz w:val="32"/>
          <w:szCs w:val="32"/>
        </w:rPr>
        <w:t>23年3</w:t>
      </w:r>
      <w:r>
        <w:rPr>
          <w:rFonts w:ascii="仿宋" w:hAnsi="仿宋" w:eastAsia="仿宋" w:cs="Times New Roman"/>
          <w:color w:val="323232"/>
          <w:sz w:val="32"/>
          <w:szCs w:val="32"/>
        </w:rPr>
        <w:t>月</w:t>
      </w:r>
      <w:r>
        <w:rPr>
          <w:rFonts w:hint="eastAsia" w:ascii="仿宋" w:hAnsi="仿宋" w:eastAsia="仿宋" w:cs="Times New Roman"/>
          <w:color w:val="323232"/>
          <w:sz w:val="32"/>
          <w:szCs w:val="32"/>
          <w:lang w:val="en-US" w:eastAsia="zh-CN"/>
        </w:rPr>
        <w:t>21</w:t>
      </w:r>
      <w:r>
        <w:rPr>
          <w:rFonts w:ascii="仿宋" w:hAnsi="仿宋" w:eastAsia="仿宋" w:cs="Times New Roman"/>
          <w:color w:val="323232"/>
          <w:sz w:val="32"/>
          <w:szCs w:val="32"/>
        </w:rPr>
        <w:t>日</w:t>
      </w:r>
    </w:p>
    <w:p>
      <w:pPr>
        <w:rPr>
          <w:rFonts w:hint="eastAsia" w:ascii="方正小标宋简体" w:hAnsi="方正小标宋简体" w:eastAsia="方正小标宋简体" w:cs="方正小标宋简体"/>
          <w:b/>
          <w:bCs/>
          <w:color w:val="323232"/>
          <w:sz w:val="32"/>
          <w:szCs w:val="32"/>
        </w:rPr>
      </w:pPr>
    </w:p>
    <w:p>
      <w:pPr>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color w:val="323232"/>
          <w:sz w:val="32"/>
          <w:szCs w:val="32"/>
        </w:rPr>
        <w:t>附件1</w:t>
      </w:r>
    </w:p>
    <w:p>
      <w:pPr>
        <w:widowControl/>
        <w:spacing w:line="550" w:lineRule="exact"/>
        <w:jc w:val="center"/>
        <w:rPr>
          <w:rFonts w:hint="eastAsia" w:ascii="方正小标宋简体" w:hAnsi="方正小标宋简体" w:eastAsia="方正小标宋简体" w:cs="方正小标宋简体"/>
          <w:b/>
          <w:bCs/>
          <w:color w:val="323232"/>
          <w:sz w:val="32"/>
          <w:szCs w:val="32"/>
        </w:rPr>
      </w:pPr>
    </w:p>
    <w:p>
      <w:pPr>
        <w:widowControl/>
        <w:spacing w:line="550" w:lineRule="exact"/>
        <w:jc w:val="center"/>
        <w:rPr>
          <w:rFonts w:hint="eastAsia" w:ascii="方正小标宋简体" w:hAnsi="方正小标宋简体" w:eastAsia="方正小标宋简体" w:cs="方正小标宋简体"/>
          <w:b/>
          <w:bCs/>
          <w:color w:val="323232"/>
          <w:sz w:val="32"/>
          <w:szCs w:val="32"/>
          <w:lang w:eastAsia="zh-CN"/>
        </w:rPr>
      </w:pPr>
      <w:r>
        <w:rPr>
          <w:rFonts w:hint="eastAsia" w:ascii="方正小标宋简体" w:hAnsi="方正小标宋简体" w:eastAsia="方正小标宋简体" w:cs="方正小标宋简体"/>
          <w:b/>
          <w:bCs/>
          <w:color w:val="323232"/>
          <w:sz w:val="32"/>
          <w:szCs w:val="32"/>
        </w:rPr>
        <w:t>湖南省药学会会员入会条件及</w:t>
      </w:r>
      <w:r>
        <w:rPr>
          <w:rFonts w:hint="eastAsia" w:ascii="方正小标宋简体" w:hAnsi="方正小标宋简体" w:eastAsia="方正小标宋简体" w:cs="方正小标宋简体"/>
          <w:b/>
          <w:bCs/>
          <w:color w:val="323232"/>
          <w:sz w:val="32"/>
          <w:szCs w:val="32"/>
          <w:lang w:val="en-US" w:eastAsia="zh-CN"/>
        </w:rPr>
        <w:t>个人</w:t>
      </w:r>
      <w:r>
        <w:rPr>
          <w:rFonts w:hint="eastAsia" w:ascii="方正小标宋简体" w:hAnsi="方正小标宋简体" w:eastAsia="方正小标宋简体" w:cs="方正小标宋简体"/>
          <w:b/>
          <w:bCs/>
          <w:color w:val="323232"/>
          <w:sz w:val="32"/>
          <w:szCs w:val="32"/>
        </w:rPr>
        <w:t>会员注册操作</w:t>
      </w:r>
      <w:r>
        <w:rPr>
          <w:rFonts w:hint="eastAsia" w:ascii="方正小标宋简体" w:hAnsi="方正小标宋简体" w:eastAsia="方正小标宋简体" w:cs="方正小标宋简体"/>
          <w:b/>
          <w:bCs/>
          <w:color w:val="323232"/>
          <w:sz w:val="32"/>
          <w:szCs w:val="32"/>
          <w:lang w:val="en-US" w:eastAsia="zh-CN"/>
        </w:rPr>
        <w:t>步骤</w:t>
      </w:r>
    </w:p>
    <w:p>
      <w:pPr>
        <w:ind w:firstLine="640" w:firstLineChars="200"/>
        <w:rPr>
          <w:rFonts w:ascii="仿宋" w:hAnsi="仿宋" w:eastAsia="仿宋" w:cs="仿宋"/>
          <w:sz w:val="32"/>
          <w:szCs w:val="32"/>
        </w:rPr>
      </w:pPr>
    </w:p>
    <w:p>
      <w:pPr>
        <w:ind w:firstLine="643" w:firstLineChars="200"/>
        <w:rPr>
          <w:rFonts w:ascii="仿宋" w:hAnsi="仿宋" w:eastAsia="仿宋" w:cs="仿宋"/>
          <w:b/>
          <w:bCs/>
          <w:sz w:val="32"/>
          <w:szCs w:val="32"/>
        </w:rPr>
      </w:pPr>
      <w:r>
        <w:rPr>
          <w:rFonts w:hint="eastAsia" w:ascii="仿宋" w:hAnsi="仿宋" w:eastAsia="仿宋" w:cs="仿宋"/>
          <w:b/>
          <w:bCs/>
          <w:sz w:val="32"/>
          <w:szCs w:val="32"/>
        </w:rPr>
        <w:t>一、</w:t>
      </w:r>
      <w:r>
        <w:rPr>
          <w:rFonts w:hint="eastAsia" w:ascii="仿宋" w:hAnsi="仿宋" w:eastAsia="仿宋" w:cs="仿宋"/>
          <w:b/>
          <w:bCs/>
          <w:sz w:val="32"/>
          <w:szCs w:val="32"/>
          <w:lang w:val="en-US" w:eastAsia="zh-CN"/>
        </w:rPr>
        <w:t>个人</w:t>
      </w:r>
      <w:r>
        <w:rPr>
          <w:rFonts w:hint="eastAsia" w:ascii="仿宋" w:hAnsi="仿宋" w:eastAsia="仿宋" w:cs="仿宋"/>
          <w:b/>
          <w:bCs/>
          <w:sz w:val="32"/>
          <w:szCs w:val="32"/>
        </w:rPr>
        <w:t>会员</w:t>
      </w:r>
      <w:r>
        <w:rPr>
          <w:rFonts w:hint="eastAsia" w:ascii="仿宋" w:hAnsi="仿宋" w:eastAsia="仿宋" w:cs="仿宋"/>
          <w:b/>
          <w:bCs/>
          <w:sz w:val="32"/>
          <w:szCs w:val="32"/>
          <w:lang w:val="en-US" w:eastAsia="zh-CN"/>
        </w:rPr>
        <w:t>入会</w:t>
      </w:r>
      <w:r>
        <w:rPr>
          <w:rFonts w:hint="eastAsia" w:ascii="仿宋" w:hAnsi="仿宋" w:eastAsia="仿宋" w:cs="仿宋"/>
          <w:b/>
          <w:bCs/>
          <w:sz w:val="32"/>
          <w:szCs w:val="32"/>
        </w:rPr>
        <w:t>条件</w:t>
      </w:r>
    </w:p>
    <w:p>
      <w:pPr>
        <w:ind w:firstLine="640" w:firstLineChars="200"/>
        <w:rPr>
          <w:rFonts w:ascii="仿宋" w:hAnsi="仿宋" w:eastAsia="仿宋" w:cs="仿宋"/>
          <w:sz w:val="32"/>
          <w:szCs w:val="32"/>
        </w:rPr>
      </w:pPr>
      <w:r>
        <w:rPr>
          <w:rFonts w:hint="eastAsia" w:ascii="仿宋" w:hAnsi="仿宋" w:eastAsia="仿宋" w:cs="仿宋"/>
          <w:sz w:val="32"/>
          <w:szCs w:val="32"/>
        </w:rPr>
        <w:t>拥护本会章程，本人自愿，具有大学本科以上学历、药师或相当于药师以上专业技术职务任职资格的药学及相关专业科学技术工作者，热心和积极支持本会工作并具有药学及相关专业知识的管理工作者，药学相关领域具有相当于药师以上职称人员。</w:t>
      </w:r>
    </w:p>
    <w:p>
      <w:pPr>
        <w:ind w:firstLine="643" w:firstLineChars="200"/>
        <w:rPr>
          <w:rFonts w:hint="default" w:ascii="仿宋" w:hAnsi="仿宋" w:eastAsia="仿宋" w:cs="仿宋"/>
          <w:b/>
          <w:bCs/>
          <w:sz w:val="32"/>
          <w:szCs w:val="32"/>
          <w:lang w:val="en-US" w:eastAsia="zh-CN"/>
        </w:rPr>
      </w:pPr>
      <w:r>
        <w:rPr>
          <w:rFonts w:hint="eastAsia" w:ascii="仿宋" w:hAnsi="仿宋" w:eastAsia="仿宋" w:cs="仿宋"/>
          <w:b/>
          <w:bCs/>
          <w:sz w:val="32"/>
          <w:szCs w:val="32"/>
        </w:rPr>
        <w:t>二、</w:t>
      </w:r>
      <w:r>
        <w:rPr>
          <w:rFonts w:hint="eastAsia" w:ascii="仿宋" w:hAnsi="仿宋" w:eastAsia="仿宋" w:cs="仿宋"/>
          <w:b/>
          <w:bCs/>
          <w:sz w:val="32"/>
          <w:szCs w:val="32"/>
          <w:lang w:val="en-US" w:eastAsia="zh-CN"/>
        </w:rPr>
        <w:t>个人</w:t>
      </w:r>
      <w:r>
        <w:rPr>
          <w:rFonts w:hint="eastAsia" w:ascii="仿宋" w:hAnsi="仿宋" w:eastAsia="仿宋" w:cs="仿宋"/>
          <w:b/>
          <w:bCs/>
          <w:sz w:val="32"/>
          <w:szCs w:val="32"/>
        </w:rPr>
        <w:t>会员入会程序</w:t>
      </w:r>
      <w:r>
        <w:rPr>
          <w:rFonts w:hint="eastAsia" w:ascii="仿宋" w:hAnsi="仿宋" w:eastAsia="仿宋" w:cs="仿宋"/>
          <w:b/>
          <w:bCs/>
          <w:sz w:val="32"/>
          <w:szCs w:val="32"/>
          <w:lang w:val="en-US" w:eastAsia="zh-CN"/>
        </w:rPr>
        <w:t>及注册操作步骤</w:t>
      </w:r>
    </w:p>
    <w:p>
      <w:pPr>
        <w:ind w:firstLine="640" w:firstLineChars="200"/>
        <w:rPr>
          <w:rFonts w:ascii="仿宋" w:hAnsi="仿宋" w:eastAsia="仿宋" w:cs="仿宋"/>
          <w:sz w:val="32"/>
          <w:szCs w:val="32"/>
        </w:rPr>
      </w:pPr>
      <w:r>
        <w:rPr>
          <w:rFonts w:hint="eastAsia" w:ascii="仿宋" w:hAnsi="仿宋" w:eastAsia="仿宋" w:cs="仿宋"/>
          <w:sz w:val="32"/>
          <w:szCs w:val="32"/>
        </w:rPr>
        <w:t>申请人在本会官网（http://www.hnpa.org.cn/）的会员管理信息系统中在线填写会员申请表，由本会秘书处依据章程规定的会员条件审核批准后，颁发本会会员电子证书。</w:t>
      </w:r>
    </w:p>
    <w:p>
      <w:pPr>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b/>
          <w:bCs/>
          <w:sz w:val="32"/>
          <w:szCs w:val="32"/>
        </w:rPr>
        <w:t>个人会员</w:t>
      </w:r>
      <w:r>
        <w:rPr>
          <w:rFonts w:hint="eastAsia" w:ascii="仿宋" w:hAnsi="仿宋" w:eastAsia="仿宋" w:cs="仿宋"/>
          <w:b/>
          <w:bCs/>
          <w:sz w:val="32"/>
          <w:szCs w:val="32"/>
          <w:lang w:val="en-US" w:eastAsia="zh-CN"/>
        </w:rPr>
        <w:t>注册操作</w:t>
      </w:r>
      <w:r>
        <w:rPr>
          <w:rFonts w:hint="eastAsia" w:ascii="仿宋" w:hAnsi="仿宋" w:eastAsia="仿宋" w:cs="仿宋"/>
          <w:b/>
          <w:bCs/>
          <w:sz w:val="32"/>
          <w:szCs w:val="32"/>
        </w:rPr>
        <w:t>步骤：</w:t>
      </w:r>
    </w:p>
    <w:p>
      <w:pPr>
        <w:ind w:firstLine="640" w:firstLineChars="200"/>
        <w:rPr>
          <w:rFonts w:ascii="仿宋" w:hAnsi="仿宋" w:eastAsia="仿宋" w:cs="仿宋"/>
          <w:sz w:val="32"/>
          <w:szCs w:val="32"/>
        </w:rPr>
      </w:pPr>
      <w:r>
        <w:rPr>
          <w:rFonts w:hint="eastAsia" w:ascii="仿宋" w:hAnsi="仿宋" w:eastAsia="仿宋" w:cs="仿宋"/>
          <w:sz w:val="32"/>
          <w:szCs w:val="32"/>
        </w:rPr>
        <w:t>1.登录湖南省药学会网站：http://www.hnpa.org.cn/；</w:t>
      </w:r>
    </w:p>
    <w:p>
      <w:pPr>
        <w:rPr>
          <w:rFonts w:ascii="仿宋" w:hAnsi="仿宋" w:eastAsia="仿宋" w:cs="仿宋"/>
          <w:b/>
          <w:bCs/>
          <w:sz w:val="32"/>
          <w:szCs w:val="32"/>
        </w:rPr>
      </w:pPr>
      <w:r>
        <w:rPr>
          <w:rFonts w:hint="eastAsia" w:ascii="仿宋" w:hAnsi="仿宋" w:eastAsia="仿宋" w:cs="仿宋"/>
          <w:b/>
          <w:bCs/>
          <w:sz w:val="32"/>
          <w:szCs w:val="32"/>
        </w:rPr>
        <w:t>电脑端                            手机端</w:t>
      </w:r>
    </w:p>
    <w:p>
      <w:pPr>
        <w:rPr>
          <w:rFonts w:ascii="仿宋" w:hAnsi="仿宋" w:eastAsia="仿宋" w:cs="仿宋"/>
          <w:sz w:val="32"/>
          <w:szCs w:val="32"/>
        </w:rPr>
      </w:pPr>
      <w:r>
        <w:rPr>
          <w:sz w:val="32"/>
        </w:rPr>
        <mc:AlternateContent>
          <mc:Choice Requires="wps">
            <w:drawing>
              <wp:anchor distT="0" distB="0" distL="114300" distR="114300" simplePos="0" relativeHeight="251660288" behindDoc="0" locked="0" layoutInCell="1" allowOverlap="1">
                <wp:simplePos x="0" y="0"/>
                <wp:positionH relativeFrom="column">
                  <wp:posOffset>1860550</wp:posOffset>
                </wp:positionH>
                <wp:positionV relativeFrom="paragraph">
                  <wp:posOffset>269240</wp:posOffset>
                </wp:positionV>
                <wp:extent cx="741680" cy="299085"/>
                <wp:effectExtent l="6350" t="6350" r="1385570" b="1523365"/>
                <wp:wrapNone/>
                <wp:docPr id="6" name="矩形标注 6"/>
                <wp:cNvGraphicFramePr/>
                <a:graphic xmlns:a="http://schemas.openxmlformats.org/drawingml/2006/main">
                  <a:graphicData uri="http://schemas.microsoft.com/office/word/2010/wordprocessingShape">
                    <wps:wsp>
                      <wps:cNvSpPr/>
                      <wps:spPr>
                        <a:xfrm>
                          <a:off x="0" y="0"/>
                          <a:ext cx="741680" cy="299085"/>
                        </a:xfrm>
                        <a:prstGeom prst="wedgeRectCallout">
                          <a:avLst>
                            <a:gd name="adj1" fmla="val 229965"/>
                            <a:gd name="adj2" fmla="val 540233"/>
                          </a:avLst>
                        </a:prstGeom>
                      </wps:spPr>
                      <wps:style>
                        <a:lnRef idx="2">
                          <a:schemeClr val="accent1"/>
                        </a:lnRef>
                        <a:fillRef idx="0">
                          <a:srgbClr val="FFFFFF"/>
                        </a:fillRef>
                        <a:effectRef idx="0">
                          <a:srgbClr val="FFFFFF"/>
                        </a:effectRef>
                        <a:fontRef idx="minor">
                          <a:schemeClr val="tx1"/>
                        </a:fontRef>
                      </wps:style>
                      <wps:txbx>
                        <w:txbxContent>
                          <w:p>
                            <w:pPr>
                              <w:jc w:val="center"/>
                              <w:rPr>
                                <w:b/>
                                <w:bCs/>
                                <w:color w:val="FF0000"/>
                              </w:rPr>
                            </w:pPr>
                            <w:r>
                              <w:rPr>
                                <w:rFonts w:hint="eastAsia"/>
                                <w:b/>
                                <w:bCs/>
                                <w:color w:val="FF0000"/>
                              </w:rPr>
                              <w:t>会员之家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46.5pt;margin-top:21.2pt;height:23.55pt;width:58.4pt;z-index:251660288;v-text-anchor:middle;mso-width-relative:page;mso-height-relative:page;" filled="f" stroked="t" coordsize="21600,21600" o:gfxdata="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5ztAx9kAAAAJAQAADwAAAAAAAAABACAAAAAiAAAAZHJzL2Rv&#10;d25yZXYueG1sUEsBAhQAFAAAAAgAh07iQKhc2E+rAgAAOgUAAA4AAAAAAAAAAQAgAAAAKAEAAGRy&#10;cy9lMm9Eb2MueG1sUEsFBgAAAAAGAAYAWQEAAEUGAAAAAA==&#10;" adj="60472,127490">
                <v:fill on="f" focussize="0,0"/>
                <v:stroke weight="1pt" color="#4874CB [3204]" miterlimit="8" joinstyle="miter"/>
                <v:imagedata o:title=""/>
                <o:lock v:ext="edit" aspectratio="f"/>
                <v:textbox>
                  <w:txbxContent>
                    <w:p>
                      <w:pPr>
                        <w:jc w:val="center"/>
                        <w:rPr>
                          <w:b/>
                          <w:bCs/>
                          <w:color w:val="FF0000"/>
                        </w:rPr>
                      </w:pPr>
                      <w:r>
                        <w:rPr>
                          <w:rFonts w:hint="eastAsia"/>
                          <w:b/>
                          <w:bCs/>
                          <w:color w:val="FF0000"/>
                        </w:rPr>
                        <w:t>会员之家</w:t>
                      </w:r>
                    </w:p>
                  </w:txbxContent>
                </v:textbox>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857885</wp:posOffset>
                </wp:positionH>
                <wp:positionV relativeFrom="paragraph">
                  <wp:posOffset>259715</wp:posOffset>
                </wp:positionV>
                <wp:extent cx="741680" cy="299085"/>
                <wp:effectExtent l="6350" t="6350" r="795020" b="989965"/>
                <wp:wrapNone/>
                <wp:docPr id="5" name="矩形标注 5"/>
                <wp:cNvGraphicFramePr/>
                <a:graphic xmlns:a="http://schemas.openxmlformats.org/drawingml/2006/main">
                  <a:graphicData uri="http://schemas.microsoft.com/office/word/2010/wordprocessingShape">
                    <wps:wsp>
                      <wps:cNvSpPr/>
                      <wps:spPr>
                        <a:xfrm>
                          <a:off x="2722245" y="7144385"/>
                          <a:ext cx="741680" cy="299085"/>
                        </a:xfrm>
                        <a:prstGeom prst="wedgeRectCallout">
                          <a:avLst>
                            <a:gd name="adj1" fmla="val 151284"/>
                            <a:gd name="adj2" fmla="val 366985"/>
                          </a:avLst>
                        </a:prstGeom>
                      </wps:spPr>
                      <wps:style>
                        <a:lnRef idx="2">
                          <a:schemeClr val="accent1"/>
                        </a:lnRef>
                        <a:fillRef idx="0">
                          <a:srgbClr val="FFFFFF"/>
                        </a:fillRef>
                        <a:effectRef idx="0">
                          <a:srgbClr val="FFFFFF"/>
                        </a:effectRef>
                        <a:fontRef idx="minor">
                          <a:schemeClr val="tx1"/>
                        </a:fontRef>
                      </wps:style>
                      <wps:txbx>
                        <w:txbxContent>
                          <w:p>
                            <w:pPr>
                              <w:jc w:val="center"/>
                              <w:rPr>
                                <w:b/>
                                <w:bCs/>
                                <w:color w:val="FF0000"/>
                              </w:rPr>
                            </w:pPr>
                            <w:r>
                              <w:rPr>
                                <w:rFonts w:hint="eastAsia"/>
                                <w:b/>
                                <w:bCs/>
                                <w:color w:val="FF0000"/>
                              </w:rPr>
                              <w:t>会员之家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7.55pt;margin-top:20.45pt;height:23.55pt;width:58.4pt;z-index:251659264;v-text-anchor:middle;mso-width-relative:page;mso-height-relative:page;" filled="f" stroked="t" coordsize="21600,21600" o:gfxdata="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O444bNgAAAAJAQAADwAAAAAAAAABACAAAAAi&#10;AAAAZHJzL2Rvd25yZXYueG1sUEsBAhQAFAAAAAgAh07iQE4TzJu1AgAARgUAAA4AAAAAAAAAAQAg&#10;AAAAJwEAAGRycy9lMm9Eb2MueG1sUEsFBgAAAAAGAAYAWQEAAE4GAAAAAA==&#10;" adj="43477,90069">
                <v:fill on="f" focussize="0,0"/>
                <v:stroke weight="1pt" color="#4874CB [3204]" miterlimit="8" joinstyle="miter"/>
                <v:imagedata o:title=""/>
                <o:lock v:ext="edit" aspectratio="f"/>
                <v:textbox>
                  <w:txbxContent>
                    <w:p>
                      <w:pPr>
                        <w:jc w:val="center"/>
                        <w:rPr>
                          <w:b/>
                          <w:bCs/>
                          <w:color w:val="FF0000"/>
                        </w:rPr>
                      </w:pPr>
                      <w:r>
                        <w:rPr>
                          <w:rFonts w:hint="eastAsia"/>
                          <w:b/>
                          <w:bCs/>
                          <w:color w:val="FF0000"/>
                        </w:rPr>
                        <w:t>会员之家</w:t>
                      </w:r>
                    </w:p>
                  </w:txbxContent>
                </v:textbox>
              </v:shape>
            </w:pict>
          </mc:Fallback>
        </mc:AlternateContent>
      </w:r>
      <w:r>
        <w:rPr>
          <w:rFonts w:hint="eastAsia" w:ascii="仿宋" w:hAnsi="仿宋" w:eastAsia="仿宋" w:cs="仿宋"/>
          <w:sz w:val="32"/>
          <w:szCs w:val="32"/>
        </w:rPr>
        <w:drawing>
          <wp:inline distT="0" distB="0" distL="114300" distR="114300">
            <wp:extent cx="3240405" cy="1908175"/>
            <wp:effectExtent l="0" t="0" r="1714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240405" cy="1908175"/>
                    </a:xfrm>
                    <a:prstGeom prst="rect">
                      <a:avLst/>
                    </a:prstGeom>
                    <a:noFill/>
                    <a:ln>
                      <a:noFill/>
                    </a:ln>
                  </pic:spPr>
                </pic:pic>
              </a:graphicData>
            </a:graphic>
          </wp:inline>
        </w:drawing>
      </w:r>
      <w:r>
        <w:rPr>
          <w:rFonts w:hint="eastAsia" w:ascii="仿宋" w:hAnsi="仿宋" w:eastAsia="仿宋" w:cs="仿宋"/>
          <w:sz w:val="32"/>
          <w:szCs w:val="32"/>
        </w:rPr>
        <w:drawing>
          <wp:inline distT="0" distB="0" distL="114300" distR="114300">
            <wp:extent cx="2397125" cy="2997835"/>
            <wp:effectExtent l="0" t="0" r="317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397125" cy="2997835"/>
                    </a:xfrm>
                    <a:prstGeom prst="rect">
                      <a:avLst/>
                    </a:prstGeom>
                    <a:noFill/>
                    <a:ln>
                      <a:noFill/>
                    </a:ln>
                  </pic:spPr>
                </pic:pic>
              </a:graphicData>
            </a:graphic>
          </wp:inline>
        </w:drawing>
      </w:r>
    </w:p>
    <w:p>
      <w:pPr>
        <w:rPr>
          <w:rFonts w:ascii="仿宋" w:hAnsi="仿宋" w:eastAsia="仿宋" w:cs="仿宋"/>
          <w:sz w:val="32"/>
          <w:szCs w:val="32"/>
        </w:rPr>
      </w:pPr>
      <w:r>
        <w:rPr>
          <w:rFonts w:hint="eastAsia" w:ascii="仿宋" w:hAnsi="仿宋" w:eastAsia="仿宋" w:cs="仿宋"/>
          <w:sz w:val="32"/>
          <w:szCs w:val="32"/>
        </w:rPr>
        <w:t>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2.点击进入“会员之家”页面；</w:t>
      </w:r>
    </w:p>
    <w:p>
      <w:pPr>
        <w:rPr>
          <w:rFonts w:ascii="仿宋" w:hAnsi="仿宋" w:eastAsia="仿宋" w:cs="仿宋"/>
          <w:sz w:val="32"/>
          <w:szCs w:val="32"/>
        </w:rPr>
      </w:pPr>
      <w:r>
        <w:rPr>
          <w:rFonts w:hint="eastAsia" w:ascii="仿宋" w:hAnsi="仿宋" w:eastAsia="仿宋" w:cs="仿宋"/>
          <w:sz w:val="32"/>
          <w:szCs w:val="32"/>
        </w:rPr>
        <w:t>   3.再点击进入“个人会员”页面；</w:t>
      </w:r>
    </w:p>
    <w:p>
      <w:pPr>
        <w:rPr>
          <w:rFonts w:hint="eastAsia" w:ascii="仿宋" w:hAnsi="仿宋" w:eastAsia="仿宋" w:cs="仿宋"/>
          <w:b/>
          <w:bCs/>
          <w:sz w:val="32"/>
          <w:szCs w:val="32"/>
        </w:rPr>
      </w:pPr>
    </w:p>
    <w:p>
      <w:pPr>
        <w:rPr>
          <w:rFonts w:ascii="仿宋" w:hAnsi="仿宋" w:eastAsia="仿宋" w:cs="仿宋"/>
          <w:sz w:val="32"/>
          <w:szCs w:val="32"/>
        </w:rPr>
      </w:pPr>
      <w:r>
        <w:rPr>
          <w:rFonts w:hint="eastAsia" w:ascii="仿宋" w:hAnsi="仿宋" w:eastAsia="仿宋" w:cs="仿宋"/>
          <w:b/>
          <w:bCs/>
          <w:sz w:val="32"/>
          <w:szCs w:val="32"/>
        </w:rPr>
        <w:t>电脑端</w:t>
      </w:r>
      <w:r>
        <w:rPr>
          <w:rFonts w:hint="eastAsia" w:ascii="仿宋" w:hAnsi="仿宋" w:eastAsia="仿宋" w:cs="仿宋"/>
          <w:sz w:val="32"/>
          <w:szCs w:val="32"/>
        </w:rPr>
        <w:t xml:space="preserve">                            </w:t>
      </w:r>
      <w:r>
        <w:rPr>
          <w:rFonts w:hint="eastAsia" w:ascii="仿宋" w:hAnsi="仿宋" w:eastAsia="仿宋" w:cs="仿宋"/>
          <w:b/>
          <w:bCs/>
          <w:sz w:val="32"/>
          <w:szCs w:val="32"/>
        </w:rPr>
        <w:t>手机端</w:t>
      </w:r>
    </w:p>
    <w:p>
      <w:pPr>
        <w:rPr>
          <w:rFonts w:ascii="仿宋" w:hAnsi="仿宋" w:eastAsia="仿宋" w:cs="仿宋"/>
          <w:sz w:val="32"/>
          <w:szCs w:val="32"/>
        </w:rPr>
      </w:pPr>
      <w:r>
        <w:rPr>
          <w:rFonts w:hint="eastAsia" w:ascii="仿宋" w:hAnsi="仿宋" w:eastAsia="仿宋" w:cs="仿宋"/>
          <w:sz w:val="32"/>
          <w:szCs w:val="32"/>
        </w:rPr>
        <w:drawing>
          <wp:inline distT="0" distB="0" distL="114300" distR="114300">
            <wp:extent cx="2862580" cy="1800225"/>
            <wp:effectExtent l="0" t="0" r="1397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2862580" cy="1800225"/>
                    </a:xfrm>
                    <a:prstGeom prst="rect">
                      <a:avLst/>
                    </a:prstGeom>
                    <a:noFill/>
                    <a:ln>
                      <a:noFill/>
                    </a:ln>
                  </pic:spPr>
                </pic:pic>
              </a:graphicData>
            </a:graphic>
          </wp:inline>
        </w:drawing>
      </w:r>
      <w:r>
        <w:rPr>
          <w:rFonts w:hint="eastAsia" w:ascii="仿宋" w:hAnsi="仿宋" w:eastAsia="仿宋" w:cs="仿宋"/>
          <w:sz w:val="32"/>
          <w:szCs w:val="32"/>
        </w:rPr>
        <w:t xml:space="preserve">  </w:t>
      </w:r>
      <w:r>
        <w:rPr>
          <w:rFonts w:hint="eastAsia" w:ascii="仿宋" w:hAnsi="仿宋" w:eastAsia="仿宋" w:cs="仿宋"/>
          <w:sz w:val="32"/>
          <w:szCs w:val="32"/>
        </w:rPr>
        <w:drawing>
          <wp:inline distT="0" distB="0" distL="114300" distR="114300">
            <wp:extent cx="2482215" cy="2947035"/>
            <wp:effectExtent l="0" t="0" r="133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482215" cy="2947035"/>
                    </a:xfrm>
                    <a:prstGeom prst="rect">
                      <a:avLst/>
                    </a:prstGeom>
                    <a:noFill/>
                    <a:ln>
                      <a:noFill/>
                    </a:ln>
                  </pic:spPr>
                </pic:pic>
              </a:graphicData>
            </a:graphic>
          </wp:inline>
        </w:drawing>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页面中有会员注册、会员查询、找回密码等功能。如果是新会员请点击“会员注册”，按要求填写注册信息后提交，提交注册信息后等待审核，审核通过后成为注册会员。如果是已经注册的会员，请选择账号密码登录，或者手机验证码登录，登录后检查个人信息，如果信息有变更或错误请进行修改，并提交保存。</w:t>
      </w:r>
    </w:p>
    <w:p>
      <w:pPr>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三、会员的权力</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㈠ 具有选举权、被选举权和表决权，以及对本会工作提出批评建议和监督权；</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㈡ 优先参加本会举办的国内、国际学术会议及有关活动；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㈢ 优惠取得本会举办的期刊、杂志以及有关学术资料；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㈣ 团体会员可优先获得本会技术咨询和协助举办技术培训；</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㈤ 入会自愿，退会自由。</w:t>
      </w:r>
    </w:p>
    <w:p>
      <w:pPr>
        <w:rPr>
          <w:rFonts w:hint="eastAsia" w:ascii="方正小标宋简体" w:hAnsi="方正小标宋简体" w:eastAsia="方正小标宋简体" w:cs="方正小标宋简体"/>
          <w:b/>
          <w:bCs/>
          <w:sz w:val="32"/>
          <w:szCs w:val="32"/>
          <w:lang w:val="en-US" w:eastAsia="zh-CN"/>
        </w:rPr>
      </w:pPr>
      <w:r>
        <w:rPr>
          <w:rFonts w:hint="eastAsia" w:ascii="方正小标宋简体" w:hAnsi="方正小标宋简体" w:eastAsia="方正小标宋简体" w:cs="方正小标宋简体"/>
          <w:b/>
          <w:bCs/>
          <w:sz w:val="32"/>
          <w:szCs w:val="32"/>
          <w:lang w:val="en-US" w:eastAsia="zh-CN"/>
        </w:rPr>
        <w:t>附件2</w:t>
      </w:r>
    </w:p>
    <w:p>
      <w:pPr>
        <w:jc w:val="center"/>
        <w:rPr>
          <w:rFonts w:hint="eastAsia" w:ascii="方正小标宋简体" w:hAnsi="方正小标宋简体" w:eastAsia="方正小标宋简体" w:cs="方正小标宋简体"/>
          <w:b/>
          <w:bCs/>
          <w:sz w:val="32"/>
          <w:szCs w:val="32"/>
          <w:lang w:val="en-US" w:eastAsia="zh-CN"/>
        </w:rPr>
      </w:pPr>
      <w:r>
        <w:rPr>
          <w:rFonts w:hint="eastAsia" w:ascii="方正小标宋简体" w:hAnsi="方正小标宋简体" w:eastAsia="方正小标宋简体" w:cs="方正小标宋简体"/>
          <w:b/>
          <w:bCs/>
          <w:sz w:val="32"/>
          <w:szCs w:val="32"/>
          <w:lang w:val="en-US" w:eastAsia="zh-CN"/>
        </w:rPr>
        <w:t>湖南省药学会各地市个人会员注册情况</w:t>
      </w: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统计时间：2024年3月21日</w:t>
      </w:r>
    </w:p>
    <w:tbl>
      <w:tblPr>
        <w:tblStyle w:val="6"/>
        <w:tblW w:w="0" w:type="auto"/>
        <w:tblInd w:w="6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2250"/>
        <w:gridCol w:w="4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序号</w:t>
            </w:r>
          </w:p>
        </w:tc>
        <w:tc>
          <w:tcPr>
            <w:tcW w:w="2250" w:type="dxa"/>
          </w:tcPr>
          <w:p>
            <w:pPr>
              <w:jc w:val="center"/>
              <w:rPr>
                <w:rFonts w:hint="default"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地市</w:t>
            </w:r>
          </w:p>
        </w:tc>
        <w:tc>
          <w:tcPr>
            <w:tcW w:w="4369" w:type="dxa"/>
          </w:tcPr>
          <w:p>
            <w:pPr>
              <w:jc w:val="center"/>
              <w:rPr>
                <w:rFonts w:hint="default"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注册人数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1</w:t>
            </w:r>
          </w:p>
        </w:tc>
        <w:tc>
          <w:tcPr>
            <w:tcW w:w="2250"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长沙市</w:t>
            </w:r>
          </w:p>
        </w:tc>
        <w:tc>
          <w:tcPr>
            <w:tcW w:w="4369"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3802人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2</w:t>
            </w:r>
          </w:p>
        </w:tc>
        <w:tc>
          <w:tcPr>
            <w:tcW w:w="2250"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衡阳市</w:t>
            </w:r>
          </w:p>
        </w:tc>
        <w:tc>
          <w:tcPr>
            <w:tcW w:w="4369"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1068人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3</w:t>
            </w:r>
          </w:p>
        </w:tc>
        <w:tc>
          <w:tcPr>
            <w:tcW w:w="2250"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株洲市</w:t>
            </w:r>
          </w:p>
        </w:tc>
        <w:tc>
          <w:tcPr>
            <w:tcW w:w="4369"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729人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4</w:t>
            </w:r>
          </w:p>
        </w:tc>
        <w:tc>
          <w:tcPr>
            <w:tcW w:w="2250"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郴州市</w:t>
            </w:r>
          </w:p>
        </w:tc>
        <w:tc>
          <w:tcPr>
            <w:tcW w:w="4369"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400人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5</w:t>
            </w:r>
          </w:p>
        </w:tc>
        <w:tc>
          <w:tcPr>
            <w:tcW w:w="2250" w:type="dxa"/>
            <w:vAlign w:val="top"/>
          </w:tcPr>
          <w:p>
            <w:pPr>
              <w:jc w:val="center"/>
              <w:rPr>
                <w:rFonts w:hint="default" w:ascii="仿宋" w:hAnsi="仿宋" w:eastAsia="仿宋" w:cs="仿宋"/>
                <w:b w:val="0"/>
                <w:bCs w:val="0"/>
                <w:kern w:val="2"/>
                <w:sz w:val="32"/>
                <w:szCs w:val="32"/>
                <w:vertAlign w:val="baseline"/>
                <w:lang w:val="en-US" w:eastAsia="zh-CN" w:bidi="ar-SA"/>
              </w:rPr>
            </w:pPr>
            <w:r>
              <w:rPr>
                <w:rFonts w:hint="eastAsia" w:ascii="仿宋" w:hAnsi="仿宋" w:eastAsia="仿宋" w:cs="仿宋"/>
                <w:b w:val="0"/>
                <w:bCs w:val="0"/>
                <w:sz w:val="32"/>
                <w:szCs w:val="32"/>
                <w:vertAlign w:val="baseline"/>
                <w:lang w:val="en-US" w:eastAsia="zh-CN"/>
              </w:rPr>
              <w:t>常德市</w:t>
            </w:r>
          </w:p>
        </w:tc>
        <w:tc>
          <w:tcPr>
            <w:tcW w:w="4369" w:type="dxa"/>
            <w:vAlign w:val="top"/>
          </w:tcPr>
          <w:p>
            <w:pPr>
              <w:jc w:val="center"/>
              <w:rPr>
                <w:rFonts w:hint="default" w:ascii="仿宋" w:hAnsi="仿宋" w:eastAsia="仿宋" w:cs="仿宋"/>
                <w:b w:val="0"/>
                <w:bCs w:val="0"/>
                <w:kern w:val="2"/>
                <w:sz w:val="32"/>
                <w:szCs w:val="32"/>
                <w:vertAlign w:val="baseline"/>
                <w:lang w:val="en-US" w:eastAsia="zh-CN" w:bidi="ar-SA"/>
              </w:rPr>
            </w:pPr>
            <w:r>
              <w:rPr>
                <w:rFonts w:hint="eastAsia" w:ascii="仿宋" w:hAnsi="仿宋" w:eastAsia="仿宋" w:cs="仿宋"/>
                <w:b w:val="0"/>
                <w:bCs w:val="0"/>
                <w:sz w:val="32"/>
                <w:szCs w:val="32"/>
                <w:vertAlign w:val="baseline"/>
                <w:lang w:val="en-US" w:eastAsia="zh-CN"/>
              </w:rPr>
              <w:t>384人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6</w:t>
            </w:r>
          </w:p>
        </w:tc>
        <w:tc>
          <w:tcPr>
            <w:tcW w:w="2250"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益阳市</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378人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7</w:t>
            </w:r>
          </w:p>
        </w:tc>
        <w:tc>
          <w:tcPr>
            <w:tcW w:w="2250"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岳阳市</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324人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8</w:t>
            </w:r>
          </w:p>
        </w:tc>
        <w:tc>
          <w:tcPr>
            <w:tcW w:w="2250"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怀化市</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316人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9</w:t>
            </w:r>
          </w:p>
        </w:tc>
        <w:tc>
          <w:tcPr>
            <w:tcW w:w="2250"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湘潭市</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293人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10</w:t>
            </w:r>
          </w:p>
        </w:tc>
        <w:tc>
          <w:tcPr>
            <w:tcW w:w="2250"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永州市</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260人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11</w:t>
            </w:r>
          </w:p>
        </w:tc>
        <w:tc>
          <w:tcPr>
            <w:tcW w:w="2250"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邵阳市</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236人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12</w:t>
            </w:r>
          </w:p>
        </w:tc>
        <w:tc>
          <w:tcPr>
            <w:tcW w:w="2250"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湘西州</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222人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13</w:t>
            </w:r>
          </w:p>
        </w:tc>
        <w:tc>
          <w:tcPr>
            <w:tcW w:w="2250"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娄底市</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129人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14</w:t>
            </w:r>
          </w:p>
        </w:tc>
        <w:tc>
          <w:tcPr>
            <w:tcW w:w="2250" w:type="dxa"/>
            <w:vAlign w:val="top"/>
          </w:tcPr>
          <w:p>
            <w:pPr>
              <w:jc w:val="center"/>
              <w:rPr>
                <w:rFonts w:hint="eastAsia"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张家界市</w:t>
            </w:r>
          </w:p>
        </w:tc>
        <w:tc>
          <w:tcPr>
            <w:tcW w:w="4369" w:type="dxa"/>
            <w:vAlign w:val="top"/>
          </w:tcPr>
          <w:p>
            <w:pPr>
              <w:jc w:val="center"/>
              <w:rPr>
                <w:rFonts w:hint="default" w:ascii="仿宋" w:hAnsi="仿宋" w:eastAsia="仿宋" w:cs="仿宋"/>
                <w:b w:val="0"/>
                <w:bCs w:val="0"/>
                <w:sz w:val="32"/>
                <w:szCs w:val="32"/>
                <w:vertAlign w:val="baseline"/>
                <w:lang w:val="en-US" w:eastAsia="zh-CN"/>
              </w:rPr>
            </w:pPr>
            <w:r>
              <w:rPr>
                <w:rFonts w:hint="eastAsia" w:ascii="仿宋" w:hAnsi="仿宋" w:eastAsia="仿宋" w:cs="仿宋"/>
                <w:b w:val="0"/>
                <w:bCs w:val="0"/>
                <w:sz w:val="32"/>
                <w:szCs w:val="32"/>
                <w:vertAlign w:val="baseline"/>
                <w:lang w:val="en-US" w:eastAsia="zh-CN"/>
              </w:rPr>
              <w:t>85人</w:t>
            </w:r>
          </w:p>
        </w:tc>
      </w:tr>
    </w:tbl>
    <w:p>
      <w:pPr>
        <w:rPr>
          <w:rFonts w:hint="default" w:ascii="仿宋" w:hAnsi="仿宋" w:eastAsia="仿宋" w:cs="仿宋"/>
          <w:b/>
          <w:bCs/>
          <w:sz w:val="32"/>
          <w:szCs w:val="32"/>
          <w:lang w:val="en-US" w:eastAsia="zh-CN"/>
        </w:rPr>
      </w:pPr>
    </w:p>
    <w:sectPr>
      <w:pgSz w:w="11906" w:h="16838"/>
      <w:pgMar w:top="850" w:right="1418" w:bottom="850" w:left="1418"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9FA70D-D18E-48C0-A48C-5E8CADE211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8BC723F-2B91-4E62-A776-159BDF13A6C0}"/>
  </w:font>
  <w:font w:name="仿宋_GB2312">
    <w:altName w:val="仿宋"/>
    <w:panose1 w:val="02010609030101010101"/>
    <w:charset w:val="86"/>
    <w:family w:val="modern"/>
    <w:pitch w:val="default"/>
    <w:sig w:usb0="00000000" w:usb1="00000000" w:usb2="00000000" w:usb3="00000000" w:csb0="00040000" w:csb1="00000000"/>
    <w:embedRegular r:id="rId3" w:fontKey="{91CEFF01-01E8-4C82-8C37-7334D2A3CFB4}"/>
  </w:font>
  <w:font w:name="楷体">
    <w:panose1 w:val="02010609060101010101"/>
    <w:charset w:val="86"/>
    <w:family w:val="modern"/>
    <w:pitch w:val="default"/>
    <w:sig w:usb0="800002BF" w:usb1="38CF7CFA" w:usb2="00000016" w:usb3="00000000" w:csb0="00040001" w:csb1="00000000"/>
    <w:embedRegular r:id="rId4" w:fontKey="{3BC492B4-3D9B-4C91-8112-3F914B094FDB}"/>
  </w:font>
  <w:font w:name="仿宋">
    <w:panose1 w:val="02010609060101010101"/>
    <w:charset w:val="86"/>
    <w:family w:val="modern"/>
    <w:pitch w:val="default"/>
    <w:sig w:usb0="800002BF" w:usb1="38CF7CFA" w:usb2="00000016" w:usb3="00000000" w:csb0="00040001" w:csb1="00000000"/>
    <w:embedRegular r:id="rId5" w:fontKey="{1790E3F6-EAB1-42B9-AB39-6B72805DF7DD}"/>
  </w:font>
  <w:font w:name="方正小标宋简体">
    <w:panose1 w:val="02000000000000000000"/>
    <w:charset w:val="86"/>
    <w:family w:val="auto"/>
    <w:pitch w:val="default"/>
    <w:sig w:usb0="00000001" w:usb1="08000000" w:usb2="00000000" w:usb3="00000000" w:csb0="00040000" w:csb1="00000000"/>
    <w:embedRegular r:id="rId6" w:fontKey="{76D90EBA-F565-4DF1-9CC6-5217157E07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ZTczYzJkMWRmOTFjNDNlMWQxYTUyYmFhMDQ4ZTgifQ=="/>
  </w:docVars>
  <w:rsids>
    <w:rsidRoot w:val="14A41460"/>
    <w:rsid w:val="00067700"/>
    <w:rsid w:val="000A00D1"/>
    <w:rsid w:val="00212BE4"/>
    <w:rsid w:val="0026456B"/>
    <w:rsid w:val="002C293D"/>
    <w:rsid w:val="00AD1BF9"/>
    <w:rsid w:val="00B60778"/>
    <w:rsid w:val="00CA60EB"/>
    <w:rsid w:val="00ED2E0F"/>
    <w:rsid w:val="012A4E2C"/>
    <w:rsid w:val="06EE2458"/>
    <w:rsid w:val="0FDE15F5"/>
    <w:rsid w:val="113D2012"/>
    <w:rsid w:val="13F07810"/>
    <w:rsid w:val="14A41460"/>
    <w:rsid w:val="1DAB4845"/>
    <w:rsid w:val="2B770BAC"/>
    <w:rsid w:val="39B73F47"/>
    <w:rsid w:val="3D3E1D29"/>
    <w:rsid w:val="42D433D0"/>
    <w:rsid w:val="483D075C"/>
    <w:rsid w:val="4E7F9BEE"/>
    <w:rsid w:val="5167040A"/>
    <w:rsid w:val="5E596903"/>
    <w:rsid w:val="62712EC4"/>
    <w:rsid w:val="65513C7D"/>
    <w:rsid w:val="6FF05285"/>
    <w:rsid w:val="725470E6"/>
    <w:rsid w:val="74AC62F7"/>
    <w:rsid w:val="7C1D3FAB"/>
    <w:rsid w:val="7DAB5928"/>
    <w:rsid w:val="7EFB0C8B"/>
    <w:rsid w:val="7FF65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1"/>
    <w:autoRedefine/>
    <w:qFormat/>
    <w:uiPriority w:val="0"/>
    <w:rPr>
      <w:sz w:val="18"/>
      <w:szCs w:val="18"/>
    </w:rPr>
  </w:style>
  <w:style w:type="paragraph" w:styleId="3">
    <w:name w:val="footer"/>
    <w:basedOn w:val="1"/>
    <w:link w:val="9"/>
    <w:autoRedefine/>
    <w:qFormat/>
    <w:uiPriority w:val="0"/>
    <w:pPr>
      <w:tabs>
        <w:tab w:val="center" w:pos="4153"/>
        <w:tab w:val="right" w:pos="8306"/>
      </w:tabs>
      <w:snapToGrid w:val="0"/>
      <w:jc w:val="left"/>
    </w:pPr>
    <w:rPr>
      <w:sz w:val="18"/>
      <w:szCs w:val="18"/>
    </w:rPr>
  </w:style>
  <w:style w:type="paragraph" w:styleId="4">
    <w:name w:val="header"/>
    <w:basedOn w:val="1"/>
    <w:link w:val="8"/>
    <w:autoRedefine/>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autoRedefine/>
    <w:qFormat/>
    <w:uiPriority w:val="0"/>
    <w:rPr>
      <w:kern w:val="2"/>
      <w:sz w:val="18"/>
      <w:szCs w:val="18"/>
    </w:rPr>
  </w:style>
  <w:style w:type="character" w:customStyle="1" w:styleId="9">
    <w:name w:val="页脚 Char"/>
    <w:basedOn w:val="7"/>
    <w:link w:val="3"/>
    <w:autoRedefine/>
    <w:qFormat/>
    <w:uiPriority w:val="0"/>
    <w:rPr>
      <w:kern w:val="2"/>
      <w:sz w:val="18"/>
      <w:szCs w:val="18"/>
    </w:rPr>
  </w:style>
  <w:style w:type="paragraph" w:styleId="10">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1">
    <w:name w:val="批注框文本 Char"/>
    <w:basedOn w:val="7"/>
    <w:link w:val="2"/>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197</Words>
  <Characters>1127</Characters>
  <Lines>9</Lines>
  <Paragraphs>2</Paragraphs>
  <TotalTime>53</TotalTime>
  <ScaleCrop>false</ScaleCrop>
  <LinksUpToDate>false</LinksUpToDate>
  <CharactersWithSpaces>1322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2024-03-13T11:51:00Z</dcterms:created>
  <dc:creator>闲看云卷云舒</dc:creator>
  <cp:lastModifiedBy>闲看云卷云舒</cp:lastModifiedBy>
  <cp:lastPrinted>2024-03-19T08:48:00Z</cp:lastPrinted>
  <dcterms:modified xsi:type="dcterms:W3CDTF">2024-03-21T07:36:22Z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9028952AE6414F92B200D2EC3FC0E827_11</vt:lpwstr>
  </property>
</Properties>
</file>